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                                                                        </w:t>
      </w:r>
    </w:p>
    <w:p>
      <w:pPr>
        <w:pStyle w:val="Normal"/>
        <w:jc w:val="center"/>
        <w:rPr>
          <w:b/>
          <w:b/>
        </w:rPr>
      </w:pPr>
      <w:r>
        <w:rPr>
          <w:b/>
        </w:rPr>
        <w:t>Rapor; Klinik Nörofizyoloji Yan Dal Uzmanlarının Sorunları ve İstekleri</w:t>
      </w:r>
    </w:p>
    <w:p>
      <w:pPr>
        <w:pStyle w:val="Normal"/>
        <w:jc w:val="both"/>
        <w:rPr/>
      </w:pPr>
      <w:r>
        <w:rPr/>
        <w:t>31. Ulusal Klinik Nörofizyoloji EEG-EMG kongresinde Klinik Nörofizyoloji Derneği’nin genç yan dal uzmanları olarak ilk toplantımızı düzenledik. Toplantı sonunda sorunlarımızı ve isteklerimizi belirtmek için bir rapor hazırladık. Raporu aşağıda sunuyoruz.Bizlere bu fırsatı verdiğiniz için teşekkür ederiz.</w:t>
      </w:r>
      <w:bookmarkStart w:id="0" w:name="_GoBack"/>
      <w:bookmarkEnd w:id="0"/>
    </w:p>
    <w:p>
      <w:pPr>
        <w:pStyle w:val="Normal"/>
        <w:rPr/>
      </w:pPr>
      <w:r>
        <w:rPr/>
      </w:r>
    </w:p>
    <w:p>
      <w:pPr>
        <w:pStyle w:val="ListParagraph"/>
        <w:numPr>
          <w:ilvl w:val="0"/>
          <w:numId w:val="3"/>
        </w:numPr>
        <w:rPr/>
      </w:pPr>
      <w:r>
        <w:rPr/>
        <w:t>Klinik Nörofizyoloji yan dal uzmanının görev tanımının dikkatle yapılmasını ve ileriki çalışmalarımızda bu kuralların yurt çapında geçerli olması konusunda derneğin bize destek olmasını diliyoruz. TUKMOS müfredatına dayanarak yapılan görev tanımımız ve durumumuz şu şekildedir.</w:t>
      </w:r>
    </w:p>
    <w:p>
      <w:pPr>
        <w:pStyle w:val="ListParagraph"/>
        <w:rPr/>
      </w:pPr>
      <w:r>
        <w:rPr/>
      </w:r>
    </w:p>
    <w:p>
      <w:pPr>
        <w:pStyle w:val="ListParagraph"/>
        <w:numPr>
          <w:ilvl w:val="0"/>
          <w:numId w:val="1"/>
        </w:numPr>
        <w:jc w:val="both"/>
        <w:rPr/>
      </w:pPr>
      <w:r>
        <w:rPr/>
        <w:t>Klinik nörofizyoloji uzmanı 2 yıl süresince klinik olarak nöromüsküler hastalıklar, epilepsi ve uyku bozuklukları, laboratuvar olarak EEG, PSG, EMG ve uyandırılmış potansiyeller alanında eğitim almıştır.</w:t>
      </w:r>
    </w:p>
    <w:p>
      <w:pPr>
        <w:pStyle w:val="ListParagraph"/>
        <w:numPr>
          <w:ilvl w:val="0"/>
          <w:numId w:val="1"/>
        </w:numPr>
        <w:jc w:val="both"/>
        <w:rPr/>
      </w:pPr>
      <w:r>
        <w:rPr/>
        <w:t>Yukarıda belirtilen klinik ve laboratuvar alanlarda edinmiş olduğu bilgi ve becerileri gerçekleştirmek üzere yeterli sayıda nöroloji uzmanının bulunduğu kurumlarda klinik nörofizyoloji uzmanı olarak çalışması uygundur.</w:t>
      </w:r>
    </w:p>
    <w:p>
      <w:pPr>
        <w:pStyle w:val="ListParagraph"/>
        <w:numPr>
          <w:ilvl w:val="0"/>
          <w:numId w:val="1"/>
        </w:numPr>
        <w:jc w:val="both"/>
        <w:rPr/>
      </w:pPr>
      <w:r>
        <w:rPr/>
        <w:t>Hizmet vereceği kurumda klinik ve laboratuvar olarak tanı, tektik ve tedavi amacıyla poliklinik ve yataklı servis birimlerinde çalışacağı uygun ortamın sağlanması verimliği arttırmak için kritiktir.</w:t>
      </w:r>
    </w:p>
    <w:p>
      <w:pPr>
        <w:pStyle w:val="ListParagraph"/>
        <w:numPr>
          <w:ilvl w:val="0"/>
          <w:numId w:val="1"/>
        </w:numPr>
        <w:jc w:val="both"/>
        <w:rPr/>
      </w:pPr>
      <w:r>
        <w:rPr/>
        <w:t>Hizmet alanında halihazırda nöroloji uzmanı olarak EMG, EEG, PSG hizmeti veren hekimler ile (uzmanlık eğitimi, yüksek lisans eğitimi, eğitim kursları sonrası edinilen bilgi ve tecrübe ile) aynı alanda hizmet verecek olan yan dal uzmanlarının yetki alanlarının süreç içinde belirlenmesi gerekmektedir.</w:t>
      </w:r>
    </w:p>
    <w:p>
      <w:pPr>
        <w:pStyle w:val="ListParagraph"/>
        <w:jc w:val="both"/>
        <w:rPr/>
      </w:pPr>
      <w:r>
        <w:rPr/>
      </w:r>
    </w:p>
    <w:p>
      <w:pPr>
        <w:pStyle w:val="ListParagraph"/>
        <w:numPr>
          <w:ilvl w:val="0"/>
          <w:numId w:val="3"/>
        </w:numPr>
        <w:rPr/>
      </w:pPr>
      <w:r>
        <w:rPr/>
        <w:t>Bizlerden sonra Klinik Nörofizyoloji eğitimi alacak kişiler için ülke çapında standardizasyon amacıyla eğitim sürecine yönelik önerilerimiz şu şekildedir.</w:t>
      </w:r>
    </w:p>
    <w:p>
      <w:pPr>
        <w:pStyle w:val="ListParagraph"/>
        <w:numPr>
          <w:ilvl w:val="0"/>
          <w:numId w:val="2"/>
        </w:numPr>
        <w:jc w:val="both"/>
        <w:rPr/>
      </w:pPr>
      <w:r>
        <w:rPr/>
        <w:t>2 yıl olarak belirlenmiş eğitim süresi içerisinde klinik olarak nöromüsküler hastalıklar, epilepsi ve uyku bozuklukları, laboratuvar olarak EMG, EEG, video-EEG monitorizasyon, PSG, SEP, MEP ve intraoperatif monitorizasyon alanlarında teorik ve pratik eğitim olanaklarının sağlanmasını,</w:t>
      </w:r>
    </w:p>
    <w:p>
      <w:pPr>
        <w:pStyle w:val="ListParagraph"/>
        <w:ind w:left="765" w:hanging="0"/>
        <w:jc w:val="both"/>
        <w:rPr/>
      </w:pPr>
      <w:r>
        <w:rPr/>
      </w:r>
    </w:p>
    <w:p>
      <w:pPr>
        <w:pStyle w:val="ListParagraph"/>
        <w:numPr>
          <w:ilvl w:val="0"/>
          <w:numId w:val="2"/>
        </w:numPr>
        <w:jc w:val="both"/>
        <w:rPr/>
      </w:pPr>
      <w:r>
        <w:rPr/>
        <w:t>2 yıl süresi içerisinde klinik ve laboratuvar alanlarının sürelerinin aşağıdaki hali ile gerçekleştirilmesini,</w:t>
      </w:r>
    </w:p>
    <w:p>
      <w:pPr>
        <w:pStyle w:val="ListParagraph"/>
        <w:ind w:left="765" w:hanging="0"/>
        <w:jc w:val="both"/>
        <w:rPr/>
      </w:pPr>
      <w:r>
        <w:rPr/>
        <w:t>EEG-video-EEG-epilepsi : 9 ay (erişkin ve çocuk hastaları kapsayacak şekilde)</w:t>
      </w:r>
    </w:p>
    <w:p>
      <w:pPr>
        <w:pStyle w:val="ListParagraph"/>
        <w:ind w:left="765" w:hanging="0"/>
        <w:jc w:val="both"/>
        <w:rPr/>
      </w:pPr>
      <w:r>
        <w:rPr/>
        <w:t>EMG: 1 yıl (uyandırılmış potansiyeller ve nöromüsküler hastalıklar rotasyonlarını kapsayacak şekilde)</w:t>
      </w:r>
    </w:p>
    <w:p>
      <w:pPr>
        <w:pStyle w:val="ListParagraph"/>
        <w:ind w:left="765" w:hanging="0"/>
        <w:jc w:val="both"/>
        <w:rPr/>
      </w:pPr>
      <w:r>
        <w:rPr/>
        <w:t>PSG-uyku: 3 ay</w:t>
      </w:r>
    </w:p>
    <w:p>
      <w:pPr>
        <w:pStyle w:val="ListParagraph"/>
        <w:ind w:left="765" w:hanging="0"/>
        <w:jc w:val="both"/>
        <w:rPr/>
      </w:pPr>
      <w:r>
        <w:rPr/>
      </w:r>
    </w:p>
    <w:p>
      <w:pPr>
        <w:pStyle w:val="ListParagraph"/>
        <w:numPr>
          <w:ilvl w:val="0"/>
          <w:numId w:val="2"/>
        </w:numPr>
        <w:jc w:val="both"/>
        <w:rPr/>
      </w:pPr>
      <w:r>
        <w:rPr/>
        <w:t xml:space="preserve">Eğitim kurumu olanaklarının yetersiz olduğu durumlarda ilgili alanda belirlenen süre boyunca yeterli olanağın olduğu başka bir kurumda rotasyon yapılması, talep edilmesi halinde invaziv monitorizasyon ve intraoperatif monitorizasyon alanlarında bilgi ve becerilerin kazanılması amacıyla yeterliliği mevcut diğer bir eğitim kurumunda en az 1 ay süre ile rotasyonun sağlanmasını, </w:t>
      </w:r>
    </w:p>
    <w:p>
      <w:pPr>
        <w:pStyle w:val="ListParagraph"/>
        <w:ind w:left="765" w:hanging="0"/>
        <w:jc w:val="both"/>
        <w:rPr/>
      </w:pPr>
      <w:r>
        <w:rPr/>
      </w:r>
    </w:p>
    <w:p>
      <w:pPr>
        <w:pStyle w:val="ListParagraph"/>
        <w:numPr>
          <w:ilvl w:val="0"/>
          <w:numId w:val="2"/>
        </w:numPr>
        <w:jc w:val="both"/>
        <w:rPr/>
      </w:pPr>
      <w:r>
        <w:rPr/>
        <w:t>Uzmanlık öğrencilerinin eğitim süresince bilimsel çalışmalar yapılması için teşvik edilmesi ve desteklenmesi, ulusal ve ulusararası kongrelere bildirili olarak katılımın ve 2 yıllık eğitim sonunda en az 2 bilimsel araştırma yazısının hazırlanmasının desteklenmesini öneriyoruz.</w:t>
      </w:r>
    </w:p>
    <w:p>
      <w:pPr>
        <w:pStyle w:val="Normal"/>
        <w:jc w:val="both"/>
        <w:rPr/>
      </w:pPr>
      <w:r>
        <w:rPr/>
        <w:t xml:space="preserve">    </w:t>
      </w:r>
    </w:p>
    <w:p>
      <w:pPr>
        <w:pStyle w:val="Normal"/>
        <w:jc w:val="both"/>
        <w:rPr/>
      </w:pPr>
      <w:r>
        <w:rPr/>
      </w:r>
    </w:p>
    <w:p>
      <w:pPr>
        <w:pStyle w:val="Normal"/>
        <w:jc w:val="both"/>
        <w:rPr/>
      </w:pPr>
      <w:r>
        <w:rPr/>
        <w:t>Saygılarımızla</w:t>
      </w:r>
    </w:p>
    <w:p>
      <w:pPr>
        <w:pStyle w:val="Normal"/>
        <w:rPr/>
      </w:pPr>
      <w:r>
        <w:rPr/>
        <w:t>Uzm.Dr.Leyla Baysal Kıraç</w:t>
      </w:r>
    </w:p>
    <w:p>
      <w:pPr>
        <w:pStyle w:val="Normal"/>
        <w:rPr/>
      </w:pPr>
      <w:r>
        <w:rPr/>
        <w:t>Uzm.Dr.Hava Özlem Dede</w:t>
      </w:r>
    </w:p>
    <w:p>
      <w:pPr>
        <w:pStyle w:val="Normal"/>
        <w:rPr/>
      </w:pPr>
      <w:r>
        <w:rPr/>
        <w:t>Uzm.Dr.Bektaş Korkmaz</w:t>
      </w:r>
    </w:p>
    <w:p>
      <w:pPr>
        <w:pStyle w:val="Normal"/>
        <w:rPr/>
      </w:pPr>
      <w:r>
        <w:rPr/>
        <w:t>Uzm.Dr.Yeşim Abanoz</w:t>
      </w:r>
    </w:p>
    <w:p>
      <w:pPr>
        <w:pStyle w:val="Normal"/>
        <w:rPr/>
      </w:pPr>
      <w:r>
        <w:rPr/>
        <w:t>Uzm.Dr.Yasin Abanoz</w:t>
      </w:r>
    </w:p>
    <w:p>
      <w:pPr>
        <w:pStyle w:val="Normal"/>
        <w:rPr/>
      </w:pPr>
      <w:r>
        <w:rPr/>
        <w:t>Uzm.Dr.Metin Mercan</w:t>
      </w:r>
    </w:p>
    <w:p>
      <w:pPr>
        <w:pStyle w:val="Normal"/>
        <w:rPr/>
      </w:pPr>
      <w:r>
        <w:rPr/>
        <w:t>Uzm.Dr.Ayşen Süzen Ekinci</w:t>
      </w:r>
    </w:p>
    <w:p>
      <w:pPr>
        <w:pStyle w:val="Normal"/>
        <w:rPr/>
      </w:pPr>
      <w:r>
        <w:rPr/>
        <w:t>Uzm.Dr.Ayçin Yıldız</w:t>
      </w:r>
    </w:p>
    <w:p>
      <w:pPr>
        <w:pStyle w:val="Normal"/>
        <w:rPr/>
      </w:pPr>
      <w:r>
        <w:rPr/>
        <w:t>Uzm.Dr. Nurhak Demidir</w:t>
      </w:r>
    </w:p>
    <w:p>
      <w:pPr>
        <w:pStyle w:val="Normal"/>
        <w:rPr/>
      </w:pPr>
      <w:r>
        <w:rPr/>
        <w:t>Uzm.Dr.Gönül Akdağ</w:t>
      </w:r>
    </w:p>
    <w:p>
      <w:pPr>
        <w:pStyle w:val="Normal"/>
        <w:rPr/>
      </w:pPr>
      <w:r>
        <w:rPr/>
        <w:t>Uzm.Dr.Nalan Öztürk Küçükşahin</w:t>
      </w:r>
    </w:p>
    <w:p>
      <w:pPr>
        <w:pStyle w:val="Normal"/>
        <w:rPr/>
      </w:pPr>
      <w:r>
        <w:rPr/>
        <w:t>Uzm.Dr. Olcay Tosun Meriç</w:t>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765" w:hanging="360"/>
      </w:pPr>
      <w:rPr>
        <w:rFonts w:cs="Times New Roman"/>
      </w:rPr>
    </w:lvl>
    <w:lvl w:ilvl="1">
      <w:start w:val="1"/>
      <w:numFmt w:val="lowerLetter"/>
      <w:lvlText w:val="%2."/>
      <w:lvlJc w:val="left"/>
      <w:pPr>
        <w:tabs>
          <w:tab w:val="num" w:pos="0"/>
        </w:tabs>
        <w:ind w:left="1485" w:hanging="360"/>
      </w:pPr>
      <w:rPr>
        <w:rFonts w:cs="Times New Roman"/>
      </w:rPr>
    </w:lvl>
    <w:lvl w:ilvl="2">
      <w:start w:val="1"/>
      <w:numFmt w:val="lowerRoman"/>
      <w:lvlText w:val="%3."/>
      <w:lvlJc w:val="right"/>
      <w:pPr>
        <w:tabs>
          <w:tab w:val="num" w:pos="0"/>
        </w:tabs>
        <w:ind w:left="2205" w:hanging="180"/>
      </w:pPr>
      <w:rPr>
        <w:rFonts w:cs="Times New Roman"/>
      </w:rPr>
    </w:lvl>
    <w:lvl w:ilvl="3">
      <w:start w:val="1"/>
      <w:numFmt w:val="decimal"/>
      <w:lvlText w:val="%4."/>
      <w:lvlJc w:val="left"/>
      <w:pPr>
        <w:tabs>
          <w:tab w:val="num" w:pos="0"/>
        </w:tabs>
        <w:ind w:left="2925" w:hanging="360"/>
      </w:pPr>
      <w:rPr>
        <w:rFonts w:cs="Times New Roman"/>
      </w:rPr>
    </w:lvl>
    <w:lvl w:ilvl="4">
      <w:start w:val="1"/>
      <w:numFmt w:val="lowerLetter"/>
      <w:lvlText w:val="%5."/>
      <w:lvlJc w:val="left"/>
      <w:pPr>
        <w:tabs>
          <w:tab w:val="num" w:pos="0"/>
        </w:tabs>
        <w:ind w:left="3645" w:hanging="360"/>
      </w:pPr>
      <w:rPr>
        <w:rFonts w:cs="Times New Roman"/>
      </w:rPr>
    </w:lvl>
    <w:lvl w:ilvl="5">
      <w:start w:val="1"/>
      <w:numFmt w:val="lowerRoman"/>
      <w:lvlText w:val="%6."/>
      <w:lvlJc w:val="right"/>
      <w:pPr>
        <w:tabs>
          <w:tab w:val="num" w:pos="0"/>
        </w:tabs>
        <w:ind w:left="4365" w:hanging="180"/>
      </w:pPr>
      <w:rPr>
        <w:rFonts w:cs="Times New Roman"/>
      </w:rPr>
    </w:lvl>
    <w:lvl w:ilvl="6">
      <w:start w:val="1"/>
      <w:numFmt w:val="decimal"/>
      <w:lvlText w:val="%7."/>
      <w:lvlJc w:val="left"/>
      <w:pPr>
        <w:tabs>
          <w:tab w:val="num" w:pos="0"/>
        </w:tabs>
        <w:ind w:left="5085" w:hanging="360"/>
      </w:pPr>
      <w:rPr>
        <w:rFonts w:cs="Times New Roman"/>
      </w:rPr>
    </w:lvl>
    <w:lvl w:ilvl="7">
      <w:start w:val="1"/>
      <w:numFmt w:val="lowerLetter"/>
      <w:lvlText w:val="%8."/>
      <w:lvlJc w:val="left"/>
      <w:pPr>
        <w:tabs>
          <w:tab w:val="num" w:pos="0"/>
        </w:tabs>
        <w:ind w:left="5805" w:hanging="360"/>
      </w:pPr>
      <w:rPr>
        <w:rFonts w:cs="Times New Roman"/>
      </w:rPr>
    </w:lvl>
    <w:lvl w:ilvl="8">
      <w:start w:val="1"/>
      <w:numFmt w:val="lowerRoman"/>
      <w:lvlText w:val="%9."/>
      <w:lvlJc w:val="right"/>
      <w:pPr>
        <w:tabs>
          <w:tab w:val="num" w:pos="0"/>
        </w:tabs>
        <w:ind w:left="6525" w:hanging="180"/>
      </w:pPr>
      <w:rPr>
        <w:rFonts w:cs="Times New Roman"/>
      </w:rPr>
    </w:lvl>
  </w:abstractNum>
  <w:abstractNum w:abstractNumId="3">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1447"/>
    <w:pPr>
      <w:widowControl/>
      <w:bidi w:val="0"/>
      <w:spacing w:lineRule="auto" w:line="259" w:before="0" w:after="160"/>
      <w:jc w:val="left"/>
    </w:pPr>
    <w:rPr>
      <w:rFonts w:ascii="Calibri" w:hAnsi="Calibri" w:eastAsia="Calibri" w:cs="Times New Roman"/>
      <w:color w:val="auto"/>
      <w:kern w:val="0"/>
      <w:sz w:val="22"/>
      <w:szCs w:val="22"/>
      <w:lang w:eastAsia="en-US" w:val="tr-TR" w:bidi="ar-SA"/>
    </w:rPr>
  </w:style>
  <w:style w:type="character" w:styleId="DefaultParagraphFont" w:default="1">
    <w:name w:val="Default Paragraph Font"/>
    <w:uiPriority w:val="99"/>
    <w:semiHidden/>
    <w:qFormat/>
    <w:rPr/>
  </w:style>
  <w:style w:type="paragraph" w:styleId="Balk">
    <w:name w:val="Başlık"/>
    <w:basedOn w:val="Normal"/>
    <w:next w:val="MetinGvdesi"/>
    <w:qFormat/>
    <w:pPr>
      <w:keepNext w:val="true"/>
      <w:spacing w:before="240" w:after="120"/>
    </w:pPr>
    <w:rPr>
      <w:rFonts w:ascii="Liberation Sans" w:hAnsi="Liberation Sans" w:eastAsia="Noto Sans CJK SC" w:cs="Lohit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lang w:val="zxx" w:eastAsia="zxx" w:bidi="zxx"/>
    </w:rPr>
  </w:style>
  <w:style w:type="paragraph" w:styleId="ListParagraph">
    <w:name w:val="List Paragraph"/>
    <w:basedOn w:val="Normal"/>
    <w:uiPriority w:val="99"/>
    <w:qFormat/>
    <w:rsid w:val="00ba017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Application>LibreOffice/7.3.7.2$Linux_X86_64 LibreOffice_project/30$Build-2</Application>
  <AppVersion>15.0000</AppVersion>
  <Pages>2</Pages>
  <Words>405</Words>
  <Characters>2898</Characters>
  <CharactersWithSpaces>3342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2015-06-16T07:06:00Z</dcterms:created>
  <dc:creator>ley</dc:creator>
  <dc:description/>
  <dc:language>tr-TR</dc:language>
  <cp:lastModifiedBy>genel</cp:lastModifiedBy>
  <dcterms:modified xsi:type="dcterms:W3CDTF">2015-06-16T07:06:00Z</dcterms:modified>
  <cp:revision>2</cp:revision>
  <dc:subject/>
  <dc:title>                                                                        </dc:title>
</cp:coreProperties>
</file>

<file path=docProps/custom.xml><?xml version="1.0" encoding="utf-8"?>
<Properties xmlns="http://schemas.openxmlformats.org/officeDocument/2006/custom-properties" xmlns:vt="http://schemas.openxmlformats.org/officeDocument/2006/docPropsVTypes"/>
</file>